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DF173" w14:textId="77777777" w:rsidR="00F070C0" w:rsidRDefault="00F070C0" w:rsidP="004E61CE">
      <w:pPr>
        <w:spacing w:after="0"/>
        <w:jc w:val="center"/>
        <w:rPr>
          <w:rFonts w:asciiTheme="majorHAnsi" w:hAnsiTheme="majorHAnsi"/>
          <w:b/>
          <w:bCs/>
        </w:rPr>
      </w:pPr>
      <w:r w:rsidRPr="00F070C0">
        <w:rPr>
          <w:rFonts w:asciiTheme="majorHAnsi" w:hAnsiTheme="majorHAnsi"/>
          <w:b/>
          <w:bCs/>
        </w:rPr>
        <w:t>ARIHANT'S SECURITIES LIMITED</w:t>
      </w:r>
    </w:p>
    <w:p w14:paraId="4F54B4AC" w14:textId="77777777" w:rsidR="004E61CE" w:rsidRDefault="004E61CE" w:rsidP="004E61CE">
      <w:pPr>
        <w:spacing w:after="0"/>
        <w:jc w:val="center"/>
        <w:rPr>
          <w:rFonts w:asciiTheme="majorHAnsi" w:hAnsiTheme="majorHAnsi"/>
          <w:b/>
          <w:bCs/>
        </w:rPr>
      </w:pPr>
      <w:r w:rsidRPr="004E61CE">
        <w:rPr>
          <w:rFonts w:asciiTheme="majorHAnsi" w:hAnsiTheme="majorHAnsi"/>
          <w:b/>
          <w:bCs/>
        </w:rPr>
        <w:t>FAMILIARISATION PROGRAMME FOR INDEPENDENT DIRECTORS</w:t>
      </w:r>
    </w:p>
    <w:p w14:paraId="7FA419E6" w14:textId="77777777" w:rsidR="004E61CE" w:rsidRPr="004E61CE" w:rsidRDefault="004E61CE" w:rsidP="004E61CE">
      <w:pPr>
        <w:pStyle w:val="ListParagraph"/>
        <w:numPr>
          <w:ilvl w:val="0"/>
          <w:numId w:val="1"/>
        </w:numPr>
        <w:spacing w:before="240" w:after="0"/>
        <w:jc w:val="both"/>
        <w:rPr>
          <w:rFonts w:asciiTheme="majorHAnsi" w:hAnsiTheme="majorHAnsi"/>
          <w:b/>
          <w:bCs/>
        </w:rPr>
      </w:pPr>
      <w:r w:rsidRPr="004E61CE">
        <w:rPr>
          <w:rFonts w:asciiTheme="majorHAnsi" w:hAnsiTheme="majorHAnsi"/>
          <w:b/>
          <w:bCs/>
        </w:rPr>
        <w:t>PREAMBLE</w:t>
      </w:r>
    </w:p>
    <w:p w14:paraId="55829094" w14:textId="77777777" w:rsidR="004E61CE" w:rsidRPr="004E61CE" w:rsidRDefault="004E61CE" w:rsidP="004E61CE">
      <w:pPr>
        <w:spacing w:before="240" w:after="0"/>
        <w:ind w:left="360"/>
        <w:jc w:val="both"/>
        <w:rPr>
          <w:rFonts w:asciiTheme="majorHAnsi" w:hAnsiTheme="majorHAnsi"/>
        </w:rPr>
      </w:pPr>
      <w:r w:rsidRPr="004E61CE">
        <w:rPr>
          <w:rFonts w:asciiTheme="majorHAnsi" w:hAnsiTheme="majorHAnsi"/>
        </w:rPr>
        <w:t>In terms of Clause 25(7) of the SEBI (Listing Obligations and Disclosure Requirements) Regulations, 2015 (the “Listing Regulations”), the Company is required to familiarize the Independent Directors with the business and operations of the Company, their roles, rights, responsibilities in the Company, nature of the industry in which the Company operates, business model of the Company and the ongoing events relating to the Company.</w:t>
      </w:r>
    </w:p>
    <w:p w14:paraId="0CF159B5" w14:textId="77777777" w:rsidR="004A53AE" w:rsidRPr="004E61CE" w:rsidRDefault="004E61CE" w:rsidP="004E61CE">
      <w:pPr>
        <w:spacing w:before="240" w:after="0"/>
        <w:ind w:left="360"/>
        <w:jc w:val="both"/>
        <w:rPr>
          <w:rFonts w:asciiTheme="majorHAnsi" w:hAnsiTheme="majorHAnsi"/>
        </w:rPr>
      </w:pPr>
      <w:r w:rsidRPr="004E61CE">
        <w:rPr>
          <w:rFonts w:asciiTheme="majorHAnsi" w:hAnsiTheme="majorHAnsi"/>
        </w:rPr>
        <w:t xml:space="preserve">This </w:t>
      </w:r>
      <w:proofErr w:type="spellStart"/>
      <w:r w:rsidRPr="004E61CE">
        <w:rPr>
          <w:rFonts w:asciiTheme="majorHAnsi" w:hAnsiTheme="majorHAnsi"/>
        </w:rPr>
        <w:t>programme</w:t>
      </w:r>
      <w:proofErr w:type="spellEnd"/>
      <w:r w:rsidRPr="004E61CE">
        <w:rPr>
          <w:rFonts w:asciiTheme="majorHAnsi" w:hAnsiTheme="majorHAnsi"/>
        </w:rPr>
        <w:t xml:space="preserve"> aims to provide the Independent Directors insights into the Company to enable them to understand the Company’s business and operations so that they are able to play a meaningful role in the overall governance processes of the Company.</w:t>
      </w:r>
    </w:p>
    <w:p w14:paraId="220B235D" w14:textId="77777777" w:rsidR="004E61CE" w:rsidRPr="004E61CE" w:rsidRDefault="004E61CE" w:rsidP="004E61CE">
      <w:pPr>
        <w:pStyle w:val="ListParagraph"/>
        <w:numPr>
          <w:ilvl w:val="0"/>
          <w:numId w:val="1"/>
        </w:numPr>
        <w:spacing w:before="240" w:after="0"/>
        <w:jc w:val="both"/>
        <w:rPr>
          <w:rFonts w:asciiTheme="majorHAnsi" w:hAnsiTheme="majorHAnsi"/>
          <w:b/>
          <w:bCs/>
        </w:rPr>
      </w:pPr>
      <w:r w:rsidRPr="004E61CE">
        <w:rPr>
          <w:rFonts w:asciiTheme="majorHAnsi" w:hAnsiTheme="majorHAnsi"/>
          <w:b/>
          <w:bCs/>
        </w:rPr>
        <w:t>FAMILIARISATION PROGRAMME</w:t>
      </w:r>
    </w:p>
    <w:p w14:paraId="20585984" w14:textId="77777777" w:rsidR="004E61CE" w:rsidRPr="004E61CE" w:rsidRDefault="004E61CE" w:rsidP="004E61CE">
      <w:pPr>
        <w:pStyle w:val="ListParagraph"/>
        <w:spacing w:before="240" w:after="0"/>
        <w:jc w:val="both"/>
        <w:rPr>
          <w:rFonts w:asciiTheme="majorHAnsi" w:hAnsiTheme="majorHAnsi"/>
          <w:b/>
          <w:bCs/>
        </w:rPr>
      </w:pPr>
    </w:p>
    <w:p w14:paraId="786ECF4D" w14:textId="77777777" w:rsidR="004E61CE" w:rsidRPr="004E61CE" w:rsidRDefault="004E61CE" w:rsidP="004E61CE">
      <w:pPr>
        <w:pStyle w:val="ListParagraph"/>
        <w:numPr>
          <w:ilvl w:val="0"/>
          <w:numId w:val="2"/>
        </w:numPr>
        <w:spacing w:before="240" w:after="0"/>
        <w:jc w:val="both"/>
        <w:rPr>
          <w:rFonts w:asciiTheme="majorHAnsi" w:hAnsiTheme="majorHAnsi"/>
          <w:b/>
          <w:bCs/>
        </w:rPr>
      </w:pPr>
      <w:r w:rsidRPr="004E61CE">
        <w:rPr>
          <w:rFonts w:asciiTheme="majorHAnsi" w:hAnsiTheme="majorHAnsi"/>
        </w:rPr>
        <w:t>The Company conducts induction program/presentation when a new Independent Director joins the Board of the Company, on various aspects including overall corporate and business overview, manufacturing and R&amp;D facilities, enterprise risk management processes, investor relations and human resources. The Chairman of the Board depending on the business needs may also nominate Independent Directors for relevant external training programs</w:t>
      </w:r>
      <w:r w:rsidRPr="004E61CE">
        <w:rPr>
          <w:rFonts w:asciiTheme="majorHAnsi" w:hAnsiTheme="majorHAnsi"/>
          <w:b/>
          <w:bCs/>
        </w:rPr>
        <w:t>.</w:t>
      </w:r>
    </w:p>
    <w:p w14:paraId="4E13BF92" w14:textId="77777777" w:rsidR="004E61CE" w:rsidRPr="004E61CE" w:rsidRDefault="004E61CE" w:rsidP="004E61CE">
      <w:pPr>
        <w:pStyle w:val="ListParagraph"/>
        <w:numPr>
          <w:ilvl w:val="0"/>
          <w:numId w:val="2"/>
        </w:numPr>
        <w:spacing w:before="240" w:after="0"/>
        <w:jc w:val="both"/>
        <w:rPr>
          <w:rFonts w:asciiTheme="majorHAnsi" w:hAnsiTheme="majorHAnsi"/>
        </w:rPr>
      </w:pPr>
      <w:r w:rsidRPr="004E61CE">
        <w:rPr>
          <w:rFonts w:asciiTheme="majorHAnsi" w:hAnsiTheme="majorHAnsi"/>
        </w:rPr>
        <w:t>The Independent Directors are also made aware of their roles, duties and responsibilities, remuneration and performance evaluation process, etc.</w:t>
      </w:r>
    </w:p>
    <w:p w14:paraId="66A934F4" w14:textId="77777777" w:rsidR="004E61CE" w:rsidRPr="004E61CE" w:rsidRDefault="004E61CE" w:rsidP="004E61CE">
      <w:pPr>
        <w:pStyle w:val="ListParagraph"/>
        <w:numPr>
          <w:ilvl w:val="0"/>
          <w:numId w:val="2"/>
        </w:numPr>
        <w:spacing w:before="240" w:after="0"/>
        <w:jc w:val="both"/>
        <w:rPr>
          <w:rFonts w:asciiTheme="majorHAnsi" w:hAnsiTheme="majorHAnsi"/>
        </w:rPr>
      </w:pPr>
      <w:r w:rsidRPr="004E61CE">
        <w:rPr>
          <w:rFonts w:asciiTheme="majorHAnsi" w:hAnsiTheme="majorHAnsi"/>
        </w:rPr>
        <w:t>The Company shares business presentations periodically at the meetings of the Board of Directors and the Committees to inform the Independent Directors about the strategy, operations and functions of the Company. At various Board meetings, presentations are also made on safety, health and environment, risk management, Company policies and changes in the regulatory environment</w:t>
      </w:r>
    </w:p>
    <w:p w14:paraId="04616A95" w14:textId="77777777" w:rsidR="004E61CE" w:rsidRPr="004E61CE" w:rsidRDefault="004E61CE" w:rsidP="004E61CE">
      <w:pPr>
        <w:pStyle w:val="ListParagraph"/>
        <w:numPr>
          <w:ilvl w:val="0"/>
          <w:numId w:val="2"/>
        </w:numPr>
        <w:spacing w:before="240" w:after="0"/>
        <w:jc w:val="both"/>
        <w:rPr>
          <w:rFonts w:asciiTheme="majorHAnsi" w:hAnsiTheme="majorHAnsi"/>
        </w:rPr>
      </w:pPr>
      <w:r w:rsidRPr="004E61CE">
        <w:rPr>
          <w:rFonts w:asciiTheme="majorHAnsi" w:hAnsiTheme="majorHAnsi"/>
        </w:rPr>
        <w:t>Quarterly presentations on operations are made to the Board informing about business performance, operations, market share, working capital management, changes in the senior management, major litigation, compliances, subsidiary information, etc.</w:t>
      </w:r>
    </w:p>
    <w:p w14:paraId="284285DC" w14:textId="77777777" w:rsidR="004E61CE" w:rsidRPr="004E61CE" w:rsidRDefault="004E61CE" w:rsidP="004E61CE">
      <w:pPr>
        <w:pStyle w:val="ListParagraph"/>
        <w:numPr>
          <w:ilvl w:val="0"/>
          <w:numId w:val="2"/>
        </w:numPr>
        <w:spacing w:before="240" w:after="0"/>
        <w:jc w:val="both"/>
        <w:rPr>
          <w:rFonts w:asciiTheme="majorHAnsi" w:hAnsiTheme="majorHAnsi"/>
        </w:rPr>
      </w:pPr>
      <w:r w:rsidRPr="004E61CE">
        <w:rPr>
          <w:rFonts w:asciiTheme="majorHAnsi" w:hAnsiTheme="majorHAnsi"/>
        </w:rPr>
        <w:t>On an annual basis, presentations are made on annual business plans which provide Independent Directors an opportunity to understand the strategic roadmap and also contribute to strategy development with their experience</w:t>
      </w:r>
    </w:p>
    <w:p w14:paraId="1B161773" w14:textId="77777777" w:rsidR="004E61CE" w:rsidRPr="004E61CE" w:rsidRDefault="004E61CE" w:rsidP="004E61CE">
      <w:pPr>
        <w:pStyle w:val="ListParagraph"/>
        <w:numPr>
          <w:ilvl w:val="0"/>
          <w:numId w:val="2"/>
        </w:numPr>
        <w:spacing w:before="240" w:after="0"/>
        <w:jc w:val="both"/>
        <w:rPr>
          <w:rFonts w:asciiTheme="majorHAnsi" w:hAnsiTheme="majorHAnsi"/>
        </w:rPr>
      </w:pPr>
      <w:r w:rsidRPr="004E61CE">
        <w:rPr>
          <w:rFonts w:asciiTheme="majorHAnsi" w:hAnsiTheme="majorHAnsi"/>
        </w:rPr>
        <w:t>Above presentations help the Independent Directors to understand the Company’s strategy, competitive landscape, business model, operations, product &amp; services offerings, markets, organization structure, finance, human resources, technology, quality, risk management and such other areas as may be relevant from time to time</w:t>
      </w:r>
    </w:p>
    <w:p w14:paraId="398E580A" w14:textId="77777777" w:rsidR="004E61CE" w:rsidRPr="004E61CE" w:rsidRDefault="004E61CE" w:rsidP="004E61CE">
      <w:pPr>
        <w:pStyle w:val="ListParagraph"/>
        <w:numPr>
          <w:ilvl w:val="0"/>
          <w:numId w:val="2"/>
        </w:numPr>
        <w:spacing w:before="240" w:after="0"/>
        <w:jc w:val="both"/>
        <w:rPr>
          <w:rFonts w:asciiTheme="majorHAnsi" w:hAnsiTheme="majorHAnsi"/>
        </w:rPr>
      </w:pPr>
      <w:r w:rsidRPr="004E61CE">
        <w:rPr>
          <w:rFonts w:asciiTheme="majorHAnsi" w:hAnsiTheme="majorHAnsi"/>
        </w:rPr>
        <w:t>The Company circulates news and articles related to the industry on a regular basis and provides specific regulatory updates from time to time for information of the Independent Directors</w:t>
      </w:r>
    </w:p>
    <w:p w14:paraId="24D4597E" w14:textId="77777777" w:rsidR="004E61CE" w:rsidRPr="004E61CE" w:rsidRDefault="004E61CE" w:rsidP="004E61CE">
      <w:pPr>
        <w:pStyle w:val="ListParagraph"/>
        <w:spacing w:before="240" w:after="0"/>
        <w:ind w:left="1080"/>
        <w:jc w:val="both"/>
        <w:rPr>
          <w:rFonts w:asciiTheme="majorHAnsi" w:hAnsiTheme="majorHAnsi"/>
        </w:rPr>
      </w:pPr>
    </w:p>
    <w:p w14:paraId="0179F2CC" w14:textId="77777777" w:rsidR="004E61CE" w:rsidRPr="004E61CE" w:rsidRDefault="004E61CE" w:rsidP="004E61CE">
      <w:pPr>
        <w:pStyle w:val="ListParagraph"/>
        <w:numPr>
          <w:ilvl w:val="0"/>
          <w:numId w:val="1"/>
        </w:numPr>
        <w:spacing w:before="240" w:after="0"/>
        <w:jc w:val="both"/>
        <w:rPr>
          <w:rFonts w:asciiTheme="majorHAnsi" w:hAnsiTheme="majorHAnsi"/>
          <w:b/>
          <w:bCs/>
        </w:rPr>
      </w:pPr>
      <w:r w:rsidRPr="004E61CE">
        <w:rPr>
          <w:rFonts w:asciiTheme="majorHAnsi" w:hAnsiTheme="majorHAnsi"/>
          <w:b/>
          <w:bCs/>
        </w:rPr>
        <w:lastRenderedPageBreak/>
        <w:t>REVIEW</w:t>
      </w:r>
    </w:p>
    <w:p w14:paraId="3E641C2E" w14:textId="77777777" w:rsidR="004E61CE" w:rsidRPr="004E61CE" w:rsidRDefault="004E61CE" w:rsidP="004E61CE">
      <w:pPr>
        <w:pStyle w:val="ListParagraph"/>
        <w:spacing w:before="240" w:after="0"/>
        <w:jc w:val="both"/>
        <w:rPr>
          <w:rFonts w:asciiTheme="majorHAnsi" w:hAnsiTheme="majorHAnsi"/>
        </w:rPr>
      </w:pPr>
      <w:r w:rsidRPr="004E61CE">
        <w:rPr>
          <w:rFonts w:asciiTheme="majorHAnsi" w:hAnsiTheme="majorHAnsi"/>
        </w:rPr>
        <w:t xml:space="preserve">This </w:t>
      </w:r>
      <w:proofErr w:type="spellStart"/>
      <w:r w:rsidRPr="004E61CE">
        <w:rPr>
          <w:rFonts w:asciiTheme="majorHAnsi" w:hAnsiTheme="majorHAnsi"/>
        </w:rPr>
        <w:t>Familiarisation</w:t>
      </w:r>
      <w:proofErr w:type="spellEnd"/>
      <w:r w:rsidRPr="004E61CE">
        <w:rPr>
          <w:rFonts w:asciiTheme="majorHAnsi" w:hAnsiTheme="majorHAnsi"/>
        </w:rPr>
        <w:t xml:space="preserve"> Process shall be reviewed and revised by the Board as and when required</w:t>
      </w:r>
    </w:p>
    <w:p w14:paraId="2199E0AA" w14:textId="77777777" w:rsidR="004E61CE" w:rsidRPr="004E61CE" w:rsidRDefault="004E61CE" w:rsidP="004E61CE">
      <w:pPr>
        <w:pStyle w:val="ListParagraph"/>
        <w:spacing w:before="240" w:after="0"/>
        <w:jc w:val="both"/>
        <w:rPr>
          <w:rFonts w:asciiTheme="majorHAnsi" w:hAnsiTheme="majorHAnsi"/>
        </w:rPr>
      </w:pPr>
    </w:p>
    <w:p w14:paraId="274C916E" w14:textId="6DC4F8A4" w:rsidR="004E61CE" w:rsidRDefault="004E61CE" w:rsidP="004E61CE">
      <w:pPr>
        <w:pStyle w:val="ListParagraph"/>
        <w:numPr>
          <w:ilvl w:val="0"/>
          <w:numId w:val="1"/>
        </w:numPr>
        <w:spacing w:before="240" w:after="0"/>
        <w:jc w:val="both"/>
        <w:rPr>
          <w:rFonts w:asciiTheme="majorHAnsi" w:hAnsiTheme="majorHAnsi"/>
          <w:b/>
          <w:bCs/>
        </w:rPr>
      </w:pPr>
      <w:r w:rsidRPr="004E61CE">
        <w:rPr>
          <w:rFonts w:asciiTheme="majorHAnsi" w:hAnsiTheme="majorHAnsi"/>
          <w:b/>
          <w:bCs/>
        </w:rPr>
        <w:t>DISCLOSURE</w:t>
      </w:r>
    </w:p>
    <w:p w14:paraId="2C931E4D" w14:textId="77777777" w:rsidR="00E52534" w:rsidRPr="00E52534" w:rsidRDefault="00E52534" w:rsidP="00E52534">
      <w:pPr>
        <w:pStyle w:val="ListParagraph"/>
        <w:spacing w:before="240" w:after="0"/>
        <w:jc w:val="both"/>
        <w:rPr>
          <w:rFonts w:asciiTheme="majorHAnsi" w:hAnsiTheme="majorHAnsi"/>
        </w:rPr>
      </w:pPr>
      <w:r w:rsidRPr="004E61CE">
        <w:rPr>
          <w:rFonts w:asciiTheme="majorHAnsi" w:hAnsiTheme="majorHAnsi"/>
        </w:rPr>
        <w:t xml:space="preserve">Pursuant to Regulation 46(2) of Listing Regulations, the </w:t>
      </w:r>
      <w:proofErr w:type="spellStart"/>
      <w:r w:rsidRPr="004E61CE">
        <w:rPr>
          <w:rFonts w:asciiTheme="majorHAnsi" w:hAnsiTheme="majorHAnsi"/>
        </w:rPr>
        <w:t>Familiarisation</w:t>
      </w:r>
      <w:proofErr w:type="spellEnd"/>
      <w:r w:rsidRPr="004E61CE">
        <w:rPr>
          <w:rFonts w:asciiTheme="majorHAnsi" w:hAnsiTheme="majorHAnsi"/>
        </w:rPr>
        <w:t xml:space="preserve"> </w:t>
      </w:r>
      <w:proofErr w:type="spellStart"/>
      <w:r w:rsidRPr="004E61CE">
        <w:rPr>
          <w:rFonts w:asciiTheme="majorHAnsi" w:hAnsiTheme="majorHAnsi"/>
        </w:rPr>
        <w:t>Programme</w:t>
      </w:r>
      <w:proofErr w:type="spellEnd"/>
      <w:r w:rsidRPr="004E61CE">
        <w:rPr>
          <w:rFonts w:asciiTheme="majorHAnsi" w:hAnsiTheme="majorHAnsi"/>
        </w:rPr>
        <w:t xml:space="preserve"> shall be disclosed on the Company’s website and a web link thereto shall be provided in the Annual Report</w:t>
      </w:r>
    </w:p>
    <w:p w14:paraId="38839FB8" w14:textId="77777777" w:rsidR="00E52534" w:rsidRDefault="00E52534" w:rsidP="00E52534">
      <w:pPr>
        <w:pStyle w:val="ListParagraph"/>
        <w:spacing w:before="240" w:after="0"/>
        <w:jc w:val="both"/>
        <w:rPr>
          <w:rFonts w:asciiTheme="majorHAnsi" w:hAnsiTheme="majorHAnsi"/>
          <w:b/>
          <w:bCs/>
        </w:rPr>
      </w:pPr>
    </w:p>
    <w:p w14:paraId="710E5030" w14:textId="67F04AB2" w:rsidR="00E52534" w:rsidRDefault="00E52534" w:rsidP="004E61CE">
      <w:pPr>
        <w:pStyle w:val="ListParagraph"/>
        <w:numPr>
          <w:ilvl w:val="0"/>
          <w:numId w:val="1"/>
        </w:numPr>
        <w:spacing w:before="240" w:after="0"/>
        <w:jc w:val="both"/>
        <w:rPr>
          <w:rFonts w:asciiTheme="majorHAnsi" w:hAnsiTheme="majorHAnsi"/>
          <w:b/>
          <w:bCs/>
        </w:rPr>
      </w:pPr>
      <w:bookmarkStart w:id="0" w:name="_Hlk127883706"/>
      <w:r w:rsidRPr="00E52534">
        <w:rPr>
          <w:rFonts w:asciiTheme="majorHAnsi" w:hAnsiTheme="majorHAnsi"/>
          <w:b/>
          <w:bCs/>
        </w:rPr>
        <w:t>NUMBER OF PROGRAMMS ATTENDED BY INDEPENDENT DIRECTORS</w:t>
      </w:r>
    </w:p>
    <w:p w14:paraId="086E832E" w14:textId="77777777" w:rsidR="00E52534" w:rsidRDefault="00E52534" w:rsidP="00E52534">
      <w:pPr>
        <w:pStyle w:val="ListParagraph"/>
        <w:spacing w:before="240" w:after="0"/>
        <w:jc w:val="both"/>
        <w:rPr>
          <w:rFonts w:asciiTheme="majorHAnsi" w:hAnsiTheme="majorHAnsi"/>
          <w:b/>
          <w:bCs/>
        </w:rPr>
      </w:pPr>
    </w:p>
    <w:tbl>
      <w:tblPr>
        <w:tblStyle w:val="TableGrid"/>
        <w:tblW w:w="0" w:type="auto"/>
        <w:jc w:val="center"/>
        <w:tblLook w:val="04A0" w:firstRow="1" w:lastRow="0" w:firstColumn="1" w:lastColumn="0" w:noHBand="0" w:noVBand="1"/>
      </w:tblPr>
      <w:tblGrid>
        <w:gridCol w:w="738"/>
        <w:gridCol w:w="3960"/>
        <w:gridCol w:w="1800"/>
        <w:gridCol w:w="1800"/>
      </w:tblGrid>
      <w:tr w:rsidR="00E52534" w14:paraId="33894FA2" w14:textId="77777777" w:rsidTr="00D5386E">
        <w:trPr>
          <w:jc w:val="center"/>
        </w:trPr>
        <w:tc>
          <w:tcPr>
            <w:tcW w:w="738" w:type="dxa"/>
          </w:tcPr>
          <w:p w14:paraId="2533CF32" w14:textId="244E1B4E" w:rsidR="00E52534" w:rsidRDefault="00E52534" w:rsidP="00E52534">
            <w:pPr>
              <w:pStyle w:val="ListParagraph"/>
              <w:spacing w:before="240"/>
              <w:ind w:left="0"/>
              <w:jc w:val="both"/>
              <w:rPr>
                <w:rFonts w:asciiTheme="majorHAnsi" w:hAnsiTheme="majorHAnsi"/>
                <w:b/>
                <w:bCs/>
              </w:rPr>
            </w:pPr>
            <w:r w:rsidRPr="00E52534">
              <w:rPr>
                <w:rFonts w:asciiTheme="majorHAnsi" w:hAnsiTheme="majorHAnsi"/>
                <w:b/>
                <w:bCs/>
              </w:rPr>
              <w:t>Sl.No</w:t>
            </w:r>
          </w:p>
        </w:tc>
        <w:tc>
          <w:tcPr>
            <w:tcW w:w="3960" w:type="dxa"/>
          </w:tcPr>
          <w:p w14:paraId="4FA07B1E" w14:textId="2B62AFFB" w:rsidR="00E52534" w:rsidRDefault="00E52534" w:rsidP="00E52534">
            <w:pPr>
              <w:spacing w:before="240"/>
              <w:rPr>
                <w:rFonts w:asciiTheme="majorHAnsi" w:hAnsiTheme="majorHAnsi"/>
                <w:b/>
                <w:bCs/>
              </w:rPr>
            </w:pPr>
            <w:r w:rsidRPr="00E52534">
              <w:rPr>
                <w:rFonts w:asciiTheme="majorHAnsi" w:hAnsiTheme="majorHAnsi"/>
                <w:b/>
                <w:bCs/>
              </w:rPr>
              <w:t>Number</w:t>
            </w:r>
            <w:r>
              <w:rPr>
                <w:rFonts w:asciiTheme="majorHAnsi" w:hAnsiTheme="majorHAnsi"/>
                <w:b/>
                <w:bCs/>
              </w:rPr>
              <w:t xml:space="preserve"> </w:t>
            </w:r>
            <w:r w:rsidRPr="00E52534">
              <w:rPr>
                <w:rFonts w:asciiTheme="majorHAnsi" w:hAnsiTheme="majorHAnsi"/>
                <w:b/>
                <w:bCs/>
              </w:rPr>
              <w:t>of programs</w:t>
            </w:r>
            <w:r>
              <w:rPr>
                <w:rFonts w:asciiTheme="majorHAnsi" w:hAnsiTheme="majorHAnsi"/>
                <w:b/>
                <w:bCs/>
              </w:rPr>
              <w:t xml:space="preserve"> </w:t>
            </w:r>
            <w:r w:rsidRPr="00E52534">
              <w:rPr>
                <w:rFonts w:asciiTheme="majorHAnsi" w:hAnsiTheme="majorHAnsi"/>
                <w:b/>
                <w:bCs/>
              </w:rPr>
              <w:t>attended by</w:t>
            </w:r>
            <w:r>
              <w:rPr>
                <w:rFonts w:asciiTheme="majorHAnsi" w:hAnsiTheme="majorHAnsi"/>
                <w:b/>
                <w:bCs/>
              </w:rPr>
              <w:t xml:space="preserve"> </w:t>
            </w:r>
            <w:r w:rsidRPr="00E52534">
              <w:rPr>
                <w:rFonts w:asciiTheme="majorHAnsi" w:hAnsiTheme="majorHAnsi"/>
                <w:b/>
                <w:bCs/>
              </w:rPr>
              <w:t>Independent Directors</w:t>
            </w:r>
          </w:p>
        </w:tc>
        <w:tc>
          <w:tcPr>
            <w:tcW w:w="3600" w:type="dxa"/>
            <w:gridSpan w:val="2"/>
          </w:tcPr>
          <w:p w14:paraId="5AA01273" w14:textId="6D75DCF1" w:rsidR="00E52534" w:rsidRDefault="00E52534" w:rsidP="00D5386E">
            <w:pPr>
              <w:spacing w:before="240"/>
              <w:jc w:val="center"/>
              <w:rPr>
                <w:rFonts w:asciiTheme="majorHAnsi" w:hAnsiTheme="majorHAnsi"/>
                <w:b/>
                <w:bCs/>
              </w:rPr>
            </w:pPr>
            <w:r w:rsidRPr="00E52534">
              <w:rPr>
                <w:rFonts w:asciiTheme="majorHAnsi" w:hAnsiTheme="majorHAnsi"/>
                <w:b/>
                <w:bCs/>
              </w:rPr>
              <w:t>Number of hours spent by</w:t>
            </w:r>
            <w:r>
              <w:rPr>
                <w:rFonts w:asciiTheme="majorHAnsi" w:hAnsiTheme="majorHAnsi"/>
                <w:b/>
                <w:bCs/>
              </w:rPr>
              <w:t xml:space="preserve"> </w:t>
            </w:r>
            <w:r w:rsidRPr="00E52534">
              <w:rPr>
                <w:rFonts w:asciiTheme="majorHAnsi" w:hAnsiTheme="majorHAnsi"/>
                <w:b/>
                <w:bCs/>
              </w:rPr>
              <w:t>each Independent</w:t>
            </w:r>
            <w:r>
              <w:rPr>
                <w:rFonts w:asciiTheme="majorHAnsi" w:hAnsiTheme="majorHAnsi"/>
                <w:b/>
                <w:bCs/>
              </w:rPr>
              <w:t xml:space="preserve"> </w:t>
            </w:r>
            <w:r w:rsidRPr="00E52534">
              <w:rPr>
                <w:rFonts w:asciiTheme="majorHAnsi" w:hAnsiTheme="majorHAnsi"/>
                <w:b/>
                <w:bCs/>
              </w:rPr>
              <w:t>Directors</w:t>
            </w:r>
          </w:p>
        </w:tc>
      </w:tr>
      <w:tr w:rsidR="00E52534" w14:paraId="3CB5BAEA" w14:textId="77777777" w:rsidTr="00D5386E">
        <w:trPr>
          <w:jc w:val="center"/>
        </w:trPr>
        <w:tc>
          <w:tcPr>
            <w:tcW w:w="738" w:type="dxa"/>
          </w:tcPr>
          <w:p w14:paraId="35C0D74A" w14:textId="77777777" w:rsidR="00E52534" w:rsidRDefault="00E52534" w:rsidP="00E52534">
            <w:pPr>
              <w:pStyle w:val="ListParagraph"/>
              <w:spacing w:before="240"/>
              <w:ind w:left="0"/>
              <w:jc w:val="both"/>
              <w:rPr>
                <w:rFonts w:asciiTheme="majorHAnsi" w:hAnsiTheme="majorHAnsi"/>
                <w:b/>
                <w:bCs/>
              </w:rPr>
            </w:pPr>
          </w:p>
        </w:tc>
        <w:tc>
          <w:tcPr>
            <w:tcW w:w="3960" w:type="dxa"/>
          </w:tcPr>
          <w:p w14:paraId="420FF8C4" w14:textId="77777777" w:rsidR="00E52534" w:rsidRDefault="00E52534" w:rsidP="00E52534">
            <w:pPr>
              <w:pStyle w:val="ListParagraph"/>
              <w:spacing w:before="240"/>
              <w:ind w:left="0"/>
              <w:jc w:val="both"/>
              <w:rPr>
                <w:rFonts w:asciiTheme="majorHAnsi" w:hAnsiTheme="majorHAnsi"/>
                <w:b/>
                <w:bCs/>
              </w:rPr>
            </w:pPr>
          </w:p>
        </w:tc>
        <w:tc>
          <w:tcPr>
            <w:tcW w:w="1800" w:type="dxa"/>
          </w:tcPr>
          <w:p w14:paraId="3754990A" w14:textId="750CACFE" w:rsidR="00E52534" w:rsidRPr="00E52534" w:rsidRDefault="00E52534" w:rsidP="00D5386E">
            <w:pPr>
              <w:spacing w:before="240"/>
              <w:jc w:val="center"/>
              <w:rPr>
                <w:rFonts w:asciiTheme="majorHAnsi" w:hAnsiTheme="majorHAnsi"/>
                <w:b/>
                <w:bCs/>
              </w:rPr>
            </w:pPr>
            <w:r w:rsidRPr="00E52534">
              <w:rPr>
                <w:rFonts w:asciiTheme="majorHAnsi" w:hAnsiTheme="majorHAnsi"/>
                <w:b/>
                <w:bCs/>
              </w:rPr>
              <w:t>During</w:t>
            </w:r>
            <w:r>
              <w:rPr>
                <w:rFonts w:asciiTheme="majorHAnsi" w:hAnsiTheme="majorHAnsi"/>
                <w:b/>
                <w:bCs/>
              </w:rPr>
              <w:t xml:space="preserve"> the year</w:t>
            </w:r>
          </w:p>
        </w:tc>
        <w:tc>
          <w:tcPr>
            <w:tcW w:w="1800" w:type="dxa"/>
          </w:tcPr>
          <w:p w14:paraId="79C74A98" w14:textId="11C87FF9" w:rsidR="00E52534" w:rsidRDefault="00E52534" w:rsidP="00D5386E">
            <w:pPr>
              <w:spacing w:before="240"/>
              <w:jc w:val="center"/>
              <w:rPr>
                <w:rFonts w:asciiTheme="majorHAnsi" w:hAnsiTheme="majorHAnsi"/>
                <w:b/>
                <w:bCs/>
              </w:rPr>
            </w:pPr>
            <w:r w:rsidRPr="00E52534">
              <w:rPr>
                <w:rFonts w:asciiTheme="majorHAnsi" w:hAnsiTheme="majorHAnsi"/>
                <w:b/>
                <w:bCs/>
              </w:rPr>
              <w:t>Cumulative</w:t>
            </w:r>
            <w:r>
              <w:rPr>
                <w:rFonts w:asciiTheme="majorHAnsi" w:hAnsiTheme="majorHAnsi"/>
                <w:b/>
                <w:bCs/>
              </w:rPr>
              <w:t xml:space="preserve"> </w:t>
            </w:r>
            <w:r w:rsidRPr="00E52534">
              <w:rPr>
                <w:rFonts w:asciiTheme="majorHAnsi" w:hAnsiTheme="majorHAnsi"/>
                <w:b/>
                <w:bCs/>
              </w:rPr>
              <w:t>basi</w:t>
            </w:r>
            <w:r>
              <w:rPr>
                <w:rFonts w:asciiTheme="majorHAnsi" w:hAnsiTheme="majorHAnsi"/>
                <w:b/>
                <w:bCs/>
              </w:rPr>
              <w:t xml:space="preserve">s </w:t>
            </w:r>
            <w:r w:rsidRPr="00E52534">
              <w:rPr>
                <w:rFonts w:asciiTheme="majorHAnsi" w:hAnsiTheme="majorHAnsi"/>
                <w:b/>
                <w:bCs/>
              </w:rPr>
              <w:t>till date</w:t>
            </w:r>
          </w:p>
        </w:tc>
      </w:tr>
      <w:tr w:rsidR="00E52534" w14:paraId="7128F84A" w14:textId="77777777" w:rsidTr="00D5386E">
        <w:trPr>
          <w:jc w:val="center"/>
        </w:trPr>
        <w:tc>
          <w:tcPr>
            <w:tcW w:w="738" w:type="dxa"/>
          </w:tcPr>
          <w:p w14:paraId="22D07774" w14:textId="79033C12" w:rsidR="00E52534" w:rsidRDefault="00E52534" w:rsidP="00E52534">
            <w:pPr>
              <w:pStyle w:val="ListParagraph"/>
              <w:spacing w:before="240"/>
              <w:ind w:left="0"/>
              <w:jc w:val="both"/>
              <w:rPr>
                <w:rFonts w:asciiTheme="majorHAnsi" w:hAnsiTheme="majorHAnsi"/>
                <w:b/>
                <w:bCs/>
              </w:rPr>
            </w:pPr>
            <w:r>
              <w:rPr>
                <w:rFonts w:asciiTheme="majorHAnsi" w:hAnsiTheme="majorHAnsi"/>
                <w:b/>
                <w:bCs/>
              </w:rPr>
              <w:t>1.</w:t>
            </w:r>
          </w:p>
        </w:tc>
        <w:tc>
          <w:tcPr>
            <w:tcW w:w="3960" w:type="dxa"/>
          </w:tcPr>
          <w:p w14:paraId="0091F3CB" w14:textId="77777777" w:rsidR="00D5386E" w:rsidRDefault="00D5386E" w:rsidP="00D5386E">
            <w:pPr>
              <w:jc w:val="both"/>
              <w:rPr>
                <w:rFonts w:asciiTheme="majorHAnsi" w:hAnsiTheme="majorHAnsi"/>
                <w:b/>
                <w:bCs/>
              </w:rPr>
            </w:pPr>
          </w:p>
          <w:p w14:paraId="43A21C18" w14:textId="0164515C" w:rsidR="00E52534" w:rsidRDefault="00E52534" w:rsidP="00D5386E">
            <w:pPr>
              <w:jc w:val="both"/>
              <w:rPr>
                <w:rFonts w:asciiTheme="majorHAnsi" w:hAnsiTheme="majorHAnsi"/>
                <w:b/>
                <w:bCs/>
              </w:rPr>
            </w:pPr>
            <w:r w:rsidRPr="00E52534">
              <w:rPr>
                <w:rFonts w:asciiTheme="majorHAnsi" w:hAnsiTheme="majorHAnsi"/>
                <w:b/>
                <w:bCs/>
              </w:rPr>
              <w:t>FY 2019-20</w:t>
            </w:r>
            <w:r>
              <w:rPr>
                <w:rFonts w:asciiTheme="majorHAnsi" w:hAnsiTheme="majorHAnsi"/>
                <w:b/>
                <w:bCs/>
              </w:rPr>
              <w:t xml:space="preserve">  </w:t>
            </w:r>
          </w:p>
          <w:p w14:paraId="6562264D" w14:textId="77777777" w:rsidR="00E52534" w:rsidRDefault="00D5386E" w:rsidP="00D5386E">
            <w:pPr>
              <w:jc w:val="both"/>
              <w:rPr>
                <w:rFonts w:asciiTheme="majorHAnsi" w:hAnsiTheme="majorHAnsi"/>
                <w:b/>
                <w:bCs/>
              </w:rPr>
            </w:pPr>
            <w:r>
              <w:rPr>
                <w:rFonts w:asciiTheme="majorHAnsi" w:hAnsiTheme="majorHAnsi"/>
                <w:b/>
                <w:bCs/>
              </w:rPr>
              <w:t xml:space="preserve">1 </w:t>
            </w:r>
            <w:r w:rsidR="00E52534" w:rsidRPr="00E52534">
              <w:rPr>
                <w:rFonts w:asciiTheme="majorHAnsi" w:hAnsiTheme="majorHAnsi"/>
                <w:b/>
                <w:bCs/>
              </w:rPr>
              <w:t>Program</w:t>
            </w:r>
          </w:p>
          <w:p w14:paraId="32836BD1" w14:textId="092ED9B2" w:rsidR="00D5386E" w:rsidRDefault="00D5386E" w:rsidP="00D5386E">
            <w:pPr>
              <w:jc w:val="both"/>
              <w:rPr>
                <w:rFonts w:asciiTheme="majorHAnsi" w:hAnsiTheme="majorHAnsi"/>
                <w:b/>
                <w:bCs/>
              </w:rPr>
            </w:pPr>
          </w:p>
        </w:tc>
        <w:tc>
          <w:tcPr>
            <w:tcW w:w="1800" w:type="dxa"/>
          </w:tcPr>
          <w:p w14:paraId="284AD30D" w14:textId="78A1EDB5" w:rsidR="00E52534" w:rsidRPr="00D5386E" w:rsidRDefault="00D5386E" w:rsidP="00D5386E">
            <w:pPr>
              <w:pStyle w:val="ListParagraph"/>
              <w:spacing w:before="240"/>
              <w:ind w:left="0"/>
              <w:jc w:val="center"/>
              <w:rPr>
                <w:rFonts w:asciiTheme="majorHAnsi" w:hAnsiTheme="majorHAnsi"/>
              </w:rPr>
            </w:pPr>
            <w:r w:rsidRPr="00D5386E">
              <w:rPr>
                <w:rFonts w:asciiTheme="majorHAnsi" w:hAnsiTheme="majorHAnsi"/>
              </w:rPr>
              <w:t>120</w:t>
            </w:r>
            <w:r>
              <w:rPr>
                <w:rFonts w:asciiTheme="majorHAnsi" w:hAnsiTheme="majorHAnsi"/>
              </w:rPr>
              <w:t xml:space="preserve"> Minutes</w:t>
            </w:r>
          </w:p>
        </w:tc>
        <w:tc>
          <w:tcPr>
            <w:tcW w:w="1800" w:type="dxa"/>
          </w:tcPr>
          <w:p w14:paraId="44BA5D42" w14:textId="77777777" w:rsidR="00D5386E" w:rsidRDefault="00D5386E" w:rsidP="00D5386E">
            <w:pPr>
              <w:pStyle w:val="ListParagraph"/>
              <w:spacing w:before="240"/>
              <w:ind w:left="0"/>
              <w:jc w:val="center"/>
              <w:rPr>
                <w:rFonts w:asciiTheme="majorHAnsi" w:hAnsiTheme="majorHAnsi"/>
              </w:rPr>
            </w:pPr>
          </w:p>
          <w:p w14:paraId="76CC001F" w14:textId="7A20506D" w:rsidR="00E52534" w:rsidRPr="00D5386E" w:rsidRDefault="00D5386E" w:rsidP="00D5386E">
            <w:pPr>
              <w:pStyle w:val="ListParagraph"/>
              <w:spacing w:before="240"/>
              <w:ind w:left="0"/>
              <w:jc w:val="center"/>
              <w:rPr>
                <w:rFonts w:asciiTheme="majorHAnsi" w:hAnsiTheme="majorHAnsi"/>
              </w:rPr>
            </w:pPr>
            <w:r>
              <w:rPr>
                <w:rFonts w:asciiTheme="majorHAnsi" w:hAnsiTheme="majorHAnsi"/>
              </w:rPr>
              <w:t>120 Minutes</w:t>
            </w:r>
          </w:p>
        </w:tc>
      </w:tr>
      <w:tr w:rsidR="00E52534" w14:paraId="39E640CF" w14:textId="77777777" w:rsidTr="00D5386E">
        <w:trPr>
          <w:jc w:val="center"/>
        </w:trPr>
        <w:tc>
          <w:tcPr>
            <w:tcW w:w="738" w:type="dxa"/>
          </w:tcPr>
          <w:p w14:paraId="4BCA14A3" w14:textId="70A5FF2E" w:rsidR="00E52534" w:rsidRDefault="00E52534" w:rsidP="00D5386E">
            <w:pPr>
              <w:pStyle w:val="ListParagraph"/>
              <w:ind w:left="0"/>
              <w:jc w:val="both"/>
              <w:rPr>
                <w:rFonts w:asciiTheme="majorHAnsi" w:hAnsiTheme="majorHAnsi"/>
                <w:b/>
                <w:bCs/>
              </w:rPr>
            </w:pPr>
            <w:r>
              <w:rPr>
                <w:rFonts w:asciiTheme="majorHAnsi" w:hAnsiTheme="majorHAnsi"/>
                <w:b/>
                <w:bCs/>
              </w:rPr>
              <w:t>2.</w:t>
            </w:r>
          </w:p>
        </w:tc>
        <w:tc>
          <w:tcPr>
            <w:tcW w:w="3960" w:type="dxa"/>
          </w:tcPr>
          <w:p w14:paraId="4B74AF74" w14:textId="77777777" w:rsidR="00D5386E" w:rsidRDefault="00D5386E" w:rsidP="00D5386E">
            <w:pPr>
              <w:jc w:val="both"/>
              <w:rPr>
                <w:rFonts w:asciiTheme="majorHAnsi" w:hAnsiTheme="majorHAnsi"/>
                <w:b/>
                <w:bCs/>
              </w:rPr>
            </w:pPr>
          </w:p>
          <w:p w14:paraId="76516747" w14:textId="2BF4051B" w:rsidR="00D5386E" w:rsidRDefault="00E52534" w:rsidP="00D5386E">
            <w:pPr>
              <w:jc w:val="both"/>
              <w:rPr>
                <w:rFonts w:asciiTheme="majorHAnsi" w:hAnsiTheme="majorHAnsi"/>
                <w:b/>
                <w:bCs/>
              </w:rPr>
            </w:pPr>
            <w:r w:rsidRPr="00E52534">
              <w:rPr>
                <w:rFonts w:asciiTheme="majorHAnsi" w:hAnsiTheme="majorHAnsi"/>
                <w:b/>
                <w:bCs/>
              </w:rPr>
              <w:t>FY 2020-21</w:t>
            </w:r>
          </w:p>
          <w:p w14:paraId="5F92B16C" w14:textId="514244AC" w:rsidR="00E52534" w:rsidRDefault="00D5386E" w:rsidP="00D5386E">
            <w:pPr>
              <w:jc w:val="both"/>
              <w:rPr>
                <w:rFonts w:asciiTheme="majorHAnsi" w:hAnsiTheme="majorHAnsi"/>
                <w:b/>
                <w:bCs/>
              </w:rPr>
            </w:pPr>
            <w:r>
              <w:rPr>
                <w:rFonts w:asciiTheme="majorHAnsi" w:hAnsiTheme="majorHAnsi"/>
                <w:b/>
                <w:bCs/>
              </w:rPr>
              <w:t>1</w:t>
            </w:r>
            <w:r w:rsidR="00E52534" w:rsidRPr="00E52534">
              <w:rPr>
                <w:rFonts w:asciiTheme="majorHAnsi" w:hAnsiTheme="majorHAnsi"/>
                <w:b/>
                <w:bCs/>
              </w:rPr>
              <w:t xml:space="preserve"> Program</w:t>
            </w:r>
          </w:p>
          <w:p w14:paraId="22867E78" w14:textId="2728B41E" w:rsidR="00D5386E" w:rsidRDefault="00D5386E" w:rsidP="00D5386E">
            <w:pPr>
              <w:jc w:val="both"/>
              <w:rPr>
                <w:rFonts w:asciiTheme="majorHAnsi" w:hAnsiTheme="majorHAnsi"/>
                <w:b/>
                <w:bCs/>
              </w:rPr>
            </w:pPr>
          </w:p>
        </w:tc>
        <w:tc>
          <w:tcPr>
            <w:tcW w:w="1800" w:type="dxa"/>
          </w:tcPr>
          <w:p w14:paraId="42F18C2B" w14:textId="77777777" w:rsidR="00D5386E" w:rsidRDefault="00D5386E" w:rsidP="00D5386E">
            <w:pPr>
              <w:pStyle w:val="ListParagraph"/>
              <w:ind w:left="0"/>
              <w:jc w:val="center"/>
              <w:rPr>
                <w:rFonts w:asciiTheme="majorHAnsi" w:hAnsiTheme="majorHAnsi"/>
              </w:rPr>
            </w:pPr>
          </w:p>
          <w:p w14:paraId="135AF28B" w14:textId="3C9889F7" w:rsidR="00E52534" w:rsidRPr="00D5386E" w:rsidRDefault="00D5386E" w:rsidP="00D5386E">
            <w:pPr>
              <w:pStyle w:val="ListParagraph"/>
              <w:ind w:left="0"/>
              <w:jc w:val="center"/>
              <w:rPr>
                <w:rFonts w:asciiTheme="majorHAnsi" w:hAnsiTheme="majorHAnsi"/>
              </w:rPr>
            </w:pPr>
            <w:r w:rsidRPr="00D5386E">
              <w:rPr>
                <w:rFonts w:asciiTheme="majorHAnsi" w:hAnsiTheme="majorHAnsi"/>
              </w:rPr>
              <w:t>110</w:t>
            </w:r>
            <w:r>
              <w:rPr>
                <w:rFonts w:asciiTheme="majorHAnsi" w:hAnsiTheme="majorHAnsi"/>
              </w:rPr>
              <w:t xml:space="preserve"> Minutes</w:t>
            </w:r>
          </w:p>
        </w:tc>
        <w:tc>
          <w:tcPr>
            <w:tcW w:w="1800" w:type="dxa"/>
          </w:tcPr>
          <w:p w14:paraId="4AE624D8" w14:textId="77777777" w:rsidR="00D5386E" w:rsidRDefault="00D5386E" w:rsidP="00D5386E">
            <w:pPr>
              <w:pStyle w:val="ListParagraph"/>
              <w:ind w:left="0"/>
              <w:jc w:val="center"/>
              <w:rPr>
                <w:rFonts w:asciiTheme="majorHAnsi" w:hAnsiTheme="majorHAnsi"/>
              </w:rPr>
            </w:pPr>
          </w:p>
          <w:p w14:paraId="1CAE7F7D" w14:textId="2673FE0E" w:rsidR="00E52534" w:rsidRPr="00D5386E" w:rsidRDefault="00D5386E" w:rsidP="00D5386E">
            <w:pPr>
              <w:pStyle w:val="ListParagraph"/>
              <w:ind w:left="0"/>
              <w:jc w:val="center"/>
              <w:rPr>
                <w:rFonts w:asciiTheme="majorHAnsi" w:hAnsiTheme="majorHAnsi"/>
              </w:rPr>
            </w:pPr>
            <w:r>
              <w:rPr>
                <w:rFonts w:asciiTheme="majorHAnsi" w:hAnsiTheme="majorHAnsi"/>
              </w:rPr>
              <w:t>230 Minutes</w:t>
            </w:r>
          </w:p>
        </w:tc>
      </w:tr>
      <w:tr w:rsidR="00E52534" w14:paraId="36E33A32" w14:textId="77777777" w:rsidTr="00D5386E">
        <w:trPr>
          <w:jc w:val="center"/>
        </w:trPr>
        <w:tc>
          <w:tcPr>
            <w:tcW w:w="738" w:type="dxa"/>
          </w:tcPr>
          <w:p w14:paraId="51512123" w14:textId="23532AEE" w:rsidR="00E52534" w:rsidRDefault="00E52534" w:rsidP="00E52534">
            <w:pPr>
              <w:pStyle w:val="ListParagraph"/>
              <w:spacing w:before="240"/>
              <w:ind w:left="0"/>
              <w:jc w:val="both"/>
              <w:rPr>
                <w:rFonts w:asciiTheme="majorHAnsi" w:hAnsiTheme="majorHAnsi"/>
                <w:b/>
                <w:bCs/>
              </w:rPr>
            </w:pPr>
            <w:r>
              <w:rPr>
                <w:rFonts w:asciiTheme="majorHAnsi" w:hAnsiTheme="majorHAnsi"/>
                <w:b/>
                <w:bCs/>
              </w:rPr>
              <w:t>3.</w:t>
            </w:r>
          </w:p>
        </w:tc>
        <w:tc>
          <w:tcPr>
            <w:tcW w:w="3960" w:type="dxa"/>
          </w:tcPr>
          <w:p w14:paraId="6760D0E8" w14:textId="77777777" w:rsidR="00D5386E" w:rsidRDefault="00D5386E" w:rsidP="00D5386E">
            <w:pPr>
              <w:jc w:val="both"/>
              <w:rPr>
                <w:rFonts w:asciiTheme="majorHAnsi" w:hAnsiTheme="majorHAnsi"/>
                <w:b/>
                <w:bCs/>
              </w:rPr>
            </w:pPr>
          </w:p>
          <w:p w14:paraId="7EC1B2AB" w14:textId="6AE4D233" w:rsidR="00E52534" w:rsidRDefault="00E52534" w:rsidP="00D5386E">
            <w:pPr>
              <w:jc w:val="both"/>
              <w:rPr>
                <w:rFonts w:asciiTheme="majorHAnsi" w:hAnsiTheme="majorHAnsi"/>
                <w:b/>
                <w:bCs/>
              </w:rPr>
            </w:pPr>
            <w:r w:rsidRPr="00E52534">
              <w:rPr>
                <w:rFonts w:asciiTheme="majorHAnsi" w:hAnsiTheme="majorHAnsi"/>
                <w:b/>
                <w:bCs/>
              </w:rPr>
              <w:t>FY 2021-22</w:t>
            </w:r>
            <w:r>
              <w:rPr>
                <w:rFonts w:asciiTheme="majorHAnsi" w:hAnsiTheme="majorHAnsi"/>
                <w:b/>
                <w:bCs/>
              </w:rPr>
              <w:t xml:space="preserve"> </w:t>
            </w:r>
          </w:p>
          <w:p w14:paraId="197CFC39" w14:textId="77777777" w:rsidR="00E52534" w:rsidRDefault="00D5386E" w:rsidP="00D5386E">
            <w:pPr>
              <w:jc w:val="both"/>
              <w:rPr>
                <w:rFonts w:asciiTheme="majorHAnsi" w:hAnsiTheme="majorHAnsi"/>
                <w:b/>
                <w:bCs/>
              </w:rPr>
            </w:pPr>
            <w:r>
              <w:rPr>
                <w:rFonts w:asciiTheme="majorHAnsi" w:hAnsiTheme="majorHAnsi"/>
                <w:b/>
                <w:bCs/>
              </w:rPr>
              <w:t>1</w:t>
            </w:r>
            <w:r w:rsidR="00E52534" w:rsidRPr="00E52534">
              <w:rPr>
                <w:rFonts w:asciiTheme="majorHAnsi" w:hAnsiTheme="majorHAnsi"/>
                <w:b/>
                <w:bCs/>
              </w:rPr>
              <w:t xml:space="preserve"> Program</w:t>
            </w:r>
          </w:p>
          <w:p w14:paraId="307110AF" w14:textId="24A2ED79" w:rsidR="00D5386E" w:rsidRDefault="00D5386E" w:rsidP="00D5386E">
            <w:pPr>
              <w:jc w:val="both"/>
              <w:rPr>
                <w:rFonts w:asciiTheme="majorHAnsi" w:hAnsiTheme="majorHAnsi"/>
                <w:b/>
                <w:bCs/>
              </w:rPr>
            </w:pPr>
          </w:p>
        </w:tc>
        <w:tc>
          <w:tcPr>
            <w:tcW w:w="1800" w:type="dxa"/>
          </w:tcPr>
          <w:p w14:paraId="41D4F696" w14:textId="5BA02551" w:rsidR="00E52534" w:rsidRPr="00D5386E" w:rsidRDefault="00D5386E" w:rsidP="00D5386E">
            <w:pPr>
              <w:pStyle w:val="ListParagraph"/>
              <w:spacing w:before="240"/>
              <w:ind w:left="0"/>
              <w:jc w:val="center"/>
              <w:rPr>
                <w:rFonts w:asciiTheme="majorHAnsi" w:hAnsiTheme="majorHAnsi"/>
              </w:rPr>
            </w:pPr>
            <w:r>
              <w:rPr>
                <w:rFonts w:asciiTheme="majorHAnsi" w:hAnsiTheme="majorHAnsi"/>
              </w:rPr>
              <w:t>100 Minutes</w:t>
            </w:r>
          </w:p>
        </w:tc>
        <w:tc>
          <w:tcPr>
            <w:tcW w:w="1800" w:type="dxa"/>
          </w:tcPr>
          <w:p w14:paraId="42328062" w14:textId="77777777" w:rsidR="00D5386E" w:rsidRDefault="00D5386E" w:rsidP="00D5386E">
            <w:pPr>
              <w:pStyle w:val="ListParagraph"/>
              <w:spacing w:before="240"/>
              <w:ind w:left="0"/>
              <w:jc w:val="center"/>
              <w:rPr>
                <w:rFonts w:asciiTheme="majorHAnsi" w:hAnsiTheme="majorHAnsi"/>
              </w:rPr>
            </w:pPr>
          </w:p>
          <w:p w14:paraId="7C99E2A9" w14:textId="00EDE9E4" w:rsidR="00E52534" w:rsidRPr="00D5386E" w:rsidRDefault="00D5386E" w:rsidP="00D5386E">
            <w:pPr>
              <w:pStyle w:val="ListParagraph"/>
              <w:spacing w:before="240"/>
              <w:ind w:left="0"/>
              <w:jc w:val="center"/>
              <w:rPr>
                <w:rFonts w:asciiTheme="majorHAnsi" w:hAnsiTheme="majorHAnsi"/>
              </w:rPr>
            </w:pPr>
            <w:r>
              <w:rPr>
                <w:rFonts w:asciiTheme="majorHAnsi" w:hAnsiTheme="majorHAnsi"/>
              </w:rPr>
              <w:t>330 Minutes</w:t>
            </w:r>
          </w:p>
        </w:tc>
      </w:tr>
      <w:tr w:rsidR="005B7948" w14:paraId="3E3B2CD2" w14:textId="77777777" w:rsidTr="00A15EEE">
        <w:trPr>
          <w:jc w:val="center"/>
        </w:trPr>
        <w:tc>
          <w:tcPr>
            <w:tcW w:w="738" w:type="dxa"/>
          </w:tcPr>
          <w:p w14:paraId="259E1259" w14:textId="480F4895" w:rsidR="005B7948" w:rsidRDefault="005B7948" w:rsidP="00A15EEE">
            <w:pPr>
              <w:pStyle w:val="ListParagraph"/>
              <w:spacing w:before="240"/>
              <w:ind w:left="0"/>
              <w:jc w:val="both"/>
              <w:rPr>
                <w:rFonts w:asciiTheme="majorHAnsi" w:hAnsiTheme="majorHAnsi"/>
                <w:b/>
                <w:bCs/>
              </w:rPr>
            </w:pPr>
            <w:r>
              <w:rPr>
                <w:rFonts w:asciiTheme="majorHAnsi" w:hAnsiTheme="majorHAnsi"/>
                <w:b/>
                <w:bCs/>
              </w:rPr>
              <w:t>4</w:t>
            </w:r>
            <w:r>
              <w:rPr>
                <w:rFonts w:asciiTheme="majorHAnsi" w:hAnsiTheme="majorHAnsi"/>
                <w:b/>
                <w:bCs/>
              </w:rPr>
              <w:t>.</w:t>
            </w:r>
          </w:p>
        </w:tc>
        <w:tc>
          <w:tcPr>
            <w:tcW w:w="3960" w:type="dxa"/>
          </w:tcPr>
          <w:p w14:paraId="3C3295C2" w14:textId="77777777" w:rsidR="005B7948" w:rsidRDefault="005B7948" w:rsidP="00A15EEE">
            <w:pPr>
              <w:jc w:val="both"/>
              <w:rPr>
                <w:rFonts w:asciiTheme="majorHAnsi" w:hAnsiTheme="majorHAnsi"/>
                <w:b/>
                <w:bCs/>
              </w:rPr>
            </w:pPr>
          </w:p>
          <w:p w14:paraId="7BA81182" w14:textId="37BA5AF3" w:rsidR="005B7948" w:rsidRDefault="005B7948" w:rsidP="00A15EEE">
            <w:pPr>
              <w:jc w:val="both"/>
              <w:rPr>
                <w:rFonts w:asciiTheme="majorHAnsi" w:hAnsiTheme="majorHAnsi"/>
                <w:b/>
                <w:bCs/>
              </w:rPr>
            </w:pPr>
            <w:r>
              <w:rPr>
                <w:rFonts w:asciiTheme="majorHAnsi" w:hAnsiTheme="majorHAnsi"/>
                <w:b/>
                <w:bCs/>
              </w:rPr>
              <w:t>FY 2022-23</w:t>
            </w:r>
            <w:r>
              <w:rPr>
                <w:rFonts w:asciiTheme="majorHAnsi" w:hAnsiTheme="majorHAnsi"/>
                <w:b/>
                <w:bCs/>
              </w:rPr>
              <w:t xml:space="preserve"> </w:t>
            </w:r>
          </w:p>
          <w:p w14:paraId="79B4A6DA" w14:textId="77777777" w:rsidR="005B7948" w:rsidRDefault="005B7948" w:rsidP="00A15EEE">
            <w:pPr>
              <w:jc w:val="both"/>
              <w:rPr>
                <w:rFonts w:asciiTheme="majorHAnsi" w:hAnsiTheme="majorHAnsi"/>
                <w:b/>
                <w:bCs/>
              </w:rPr>
            </w:pPr>
            <w:r>
              <w:rPr>
                <w:rFonts w:asciiTheme="majorHAnsi" w:hAnsiTheme="majorHAnsi"/>
                <w:b/>
                <w:bCs/>
              </w:rPr>
              <w:t>1</w:t>
            </w:r>
            <w:r w:rsidRPr="00E52534">
              <w:rPr>
                <w:rFonts w:asciiTheme="majorHAnsi" w:hAnsiTheme="majorHAnsi"/>
                <w:b/>
                <w:bCs/>
              </w:rPr>
              <w:t xml:space="preserve"> Program</w:t>
            </w:r>
          </w:p>
          <w:p w14:paraId="2271F880" w14:textId="77777777" w:rsidR="005B7948" w:rsidRDefault="005B7948" w:rsidP="00A15EEE">
            <w:pPr>
              <w:jc w:val="both"/>
              <w:rPr>
                <w:rFonts w:asciiTheme="majorHAnsi" w:hAnsiTheme="majorHAnsi"/>
                <w:b/>
                <w:bCs/>
              </w:rPr>
            </w:pPr>
          </w:p>
        </w:tc>
        <w:tc>
          <w:tcPr>
            <w:tcW w:w="1800" w:type="dxa"/>
          </w:tcPr>
          <w:p w14:paraId="0957115B" w14:textId="3CF8E984" w:rsidR="005B7948" w:rsidRPr="00D5386E" w:rsidRDefault="005B7948" w:rsidP="00A15EEE">
            <w:pPr>
              <w:pStyle w:val="ListParagraph"/>
              <w:spacing w:before="240"/>
              <w:ind w:left="0"/>
              <w:jc w:val="center"/>
              <w:rPr>
                <w:rFonts w:asciiTheme="majorHAnsi" w:hAnsiTheme="majorHAnsi"/>
              </w:rPr>
            </w:pPr>
            <w:r>
              <w:rPr>
                <w:rFonts w:asciiTheme="majorHAnsi" w:hAnsiTheme="majorHAnsi"/>
              </w:rPr>
              <w:t>11</w:t>
            </w:r>
            <w:r>
              <w:rPr>
                <w:rFonts w:asciiTheme="majorHAnsi" w:hAnsiTheme="majorHAnsi"/>
              </w:rPr>
              <w:t>0 Minutes</w:t>
            </w:r>
          </w:p>
        </w:tc>
        <w:tc>
          <w:tcPr>
            <w:tcW w:w="1800" w:type="dxa"/>
          </w:tcPr>
          <w:p w14:paraId="6C419524" w14:textId="77777777" w:rsidR="005B7948" w:rsidRDefault="005B7948" w:rsidP="00A15EEE">
            <w:pPr>
              <w:pStyle w:val="ListParagraph"/>
              <w:spacing w:before="240"/>
              <w:ind w:left="0"/>
              <w:jc w:val="center"/>
              <w:rPr>
                <w:rFonts w:asciiTheme="majorHAnsi" w:hAnsiTheme="majorHAnsi"/>
              </w:rPr>
            </w:pPr>
          </w:p>
          <w:p w14:paraId="2B03720D" w14:textId="44BF9AE6" w:rsidR="005B7948" w:rsidRPr="00D5386E" w:rsidRDefault="005B7948" w:rsidP="00A15EEE">
            <w:pPr>
              <w:pStyle w:val="ListParagraph"/>
              <w:spacing w:before="240"/>
              <w:ind w:left="0"/>
              <w:jc w:val="center"/>
              <w:rPr>
                <w:rFonts w:asciiTheme="majorHAnsi" w:hAnsiTheme="majorHAnsi"/>
              </w:rPr>
            </w:pPr>
            <w:r>
              <w:rPr>
                <w:rFonts w:asciiTheme="majorHAnsi" w:hAnsiTheme="majorHAnsi"/>
              </w:rPr>
              <w:t>44</w:t>
            </w:r>
            <w:r>
              <w:rPr>
                <w:rFonts w:asciiTheme="majorHAnsi" w:hAnsiTheme="majorHAnsi"/>
              </w:rPr>
              <w:t>0 Minutes</w:t>
            </w:r>
          </w:p>
        </w:tc>
      </w:tr>
      <w:tr w:rsidR="005B7948" w14:paraId="39C91D58" w14:textId="77777777" w:rsidTr="00A15EEE">
        <w:trPr>
          <w:jc w:val="center"/>
        </w:trPr>
        <w:tc>
          <w:tcPr>
            <w:tcW w:w="738" w:type="dxa"/>
          </w:tcPr>
          <w:p w14:paraId="5BE51220" w14:textId="104A1448" w:rsidR="005B7948" w:rsidRDefault="005B7948" w:rsidP="00A15EEE">
            <w:pPr>
              <w:pStyle w:val="ListParagraph"/>
              <w:spacing w:before="240"/>
              <w:ind w:left="0"/>
              <w:jc w:val="both"/>
              <w:rPr>
                <w:rFonts w:asciiTheme="majorHAnsi" w:hAnsiTheme="majorHAnsi"/>
                <w:b/>
                <w:bCs/>
              </w:rPr>
            </w:pPr>
            <w:r>
              <w:rPr>
                <w:rFonts w:asciiTheme="majorHAnsi" w:hAnsiTheme="majorHAnsi"/>
                <w:b/>
                <w:bCs/>
              </w:rPr>
              <w:t>5</w:t>
            </w:r>
            <w:r>
              <w:rPr>
                <w:rFonts w:asciiTheme="majorHAnsi" w:hAnsiTheme="majorHAnsi"/>
                <w:b/>
                <w:bCs/>
              </w:rPr>
              <w:t>.</w:t>
            </w:r>
          </w:p>
        </w:tc>
        <w:tc>
          <w:tcPr>
            <w:tcW w:w="3960" w:type="dxa"/>
          </w:tcPr>
          <w:p w14:paraId="7DF54C3C" w14:textId="77777777" w:rsidR="005B7948" w:rsidRDefault="005B7948" w:rsidP="00A15EEE">
            <w:pPr>
              <w:jc w:val="both"/>
              <w:rPr>
                <w:rFonts w:asciiTheme="majorHAnsi" w:hAnsiTheme="majorHAnsi"/>
                <w:b/>
                <w:bCs/>
              </w:rPr>
            </w:pPr>
          </w:p>
          <w:p w14:paraId="467A883E" w14:textId="7E0B81E7" w:rsidR="005B7948" w:rsidRDefault="005B7948" w:rsidP="00A15EEE">
            <w:pPr>
              <w:jc w:val="both"/>
              <w:rPr>
                <w:rFonts w:asciiTheme="majorHAnsi" w:hAnsiTheme="majorHAnsi"/>
                <w:b/>
                <w:bCs/>
              </w:rPr>
            </w:pPr>
            <w:r>
              <w:rPr>
                <w:rFonts w:asciiTheme="majorHAnsi" w:hAnsiTheme="majorHAnsi"/>
                <w:b/>
                <w:bCs/>
              </w:rPr>
              <w:t>FY 2023-24</w:t>
            </w:r>
            <w:r>
              <w:rPr>
                <w:rFonts w:asciiTheme="majorHAnsi" w:hAnsiTheme="majorHAnsi"/>
                <w:b/>
                <w:bCs/>
              </w:rPr>
              <w:t xml:space="preserve"> </w:t>
            </w:r>
          </w:p>
          <w:p w14:paraId="65C98278" w14:textId="77777777" w:rsidR="005B7948" w:rsidRDefault="005B7948" w:rsidP="00A15EEE">
            <w:pPr>
              <w:jc w:val="both"/>
              <w:rPr>
                <w:rFonts w:asciiTheme="majorHAnsi" w:hAnsiTheme="majorHAnsi"/>
                <w:b/>
                <w:bCs/>
              </w:rPr>
            </w:pPr>
            <w:r>
              <w:rPr>
                <w:rFonts w:asciiTheme="majorHAnsi" w:hAnsiTheme="majorHAnsi"/>
                <w:b/>
                <w:bCs/>
              </w:rPr>
              <w:t>1</w:t>
            </w:r>
            <w:r w:rsidRPr="00E52534">
              <w:rPr>
                <w:rFonts w:asciiTheme="majorHAnsi" w:hAnsiTheme="majorHAnsi"/>
                <w:b/>
                <w:bCs/>
              </w:rPr>
              <w:t xml:space="preserve"> Program</w:t>
            </w:r>
          </w:p>
          <w:p w14:paraId="7E9F2E86" w14:textId="77777777" w:rsidR="005B7948" w:rsidRDefault="005B7948" w:rsidP="00A15EEE">
            <w:pPr>
              <w:jc w:val="both"/>
              <w:rPr>
                <w:rFonts w:asciiTheme="majorHAnsi" w:hAnsiTheme="majorHAnsi"/>
                <w:b/>
                <w:bCs/>
              </w:rPr>
            </w:pPr>
          </w:p>
        </w:tc>
        <w:tc>
          <w:tcPr>
            <w:tcW w:w="1800" w:type="dxa"/>
          </w:tcPr>
          <w:p w14:paraId="3BC8D154" w14:textId="77777777" w:rsidR="005B7948" w:rsidRPr="00D5386E" w:rsidRDefault="005B7948" w:rsidP="00A15EEE">
            <w:pPr>
              <w:pStyle w:val="ListParagraph"/>
              <w:spacing w:before="240"/>
              <w:ind w:left="0"/>
              <w:jc w:val="center"/>
              <w:rPr>
                <w:rFonts w:asciiTheme="majorHAnsi" w:hAnsiTheme="majorHAnsi"/>
              </w:rPr>
            </w:pPr>
            <w:r>
              <w:rPr>
                <w:rFonts w:asciiTheme="majorHAnsi" w:hAnsiTheme="majorHAnsi"/>
              </w:rPr>
              <w:t>100 Minutes</w:t>
            </w:r>
          </w:p>
        </w:tc>
        <w:tc>
          <w:tcPr>
            <w:tcW w:w="1800" w:type="dxa"/>
          </w:tcPr>
          <w:p w14:paraId="221346BA" w14:textId="77777777" w:rsidR="005B7948" w:rsidRDefault="005B7948" w:rsidP="00A15EEE">
            <w:pPr>
              <w:pStyle w:val="ListParagraph"/>
              <w:spacing w:before="240"/>
              <w:ind w:left="0"/>
              <w:jc w:val="center"/>
              <w:rPr>
                <w:rFonts w:asciiTheme="majorHAnsi" w:hAnsiTheme="majorHAnsi"/>
              </w:rPr>
            </w:pPr>
          </w:p>
          <w:p w14:paraId="588D24C9" w14:textId="054B3F0F" w:rsidR="005B7948" w:rsidRPr="00D5386E" w:rsidRDefault="005B7948" w:rsidP="00A15EEE">
            <w:pPr>
              <w:pStyle w:val="ListParagraph"/>
              <w:spacing w:before="240"/>
              <w:ind w:left="0"/>
              <w:jc w:val="center"/>
              <w:rPr>
                <w:rFonts w:asciiTheme="majorHAnsi" w:hAnsiTheme="majorHAnsi"/>
              </w:rPr>
            </w:pPr>
            <w:r>
              <w:rPr>
                <w:rFonts w:asciiTheme="majorHAnsi" w:hAnsiTheme="majorHAnsi"/>
              </w:rPr>
              <w:t>54</w:t>
            </w:r>
            <w:r>
              <w:rPr>
                <w:rFonts w:asciiTheme="majorHAnsi" w:hAnsiTheme="majorHAnsi"/>
              </w:rPr>
              <w:t>0 Minutes</w:t>
            </w:r>
          </w:p>
        </w:tc>
      </w:tr>
    </w:tbl>
    <w:p w14:paraId="63E2027B" w14:textId="77777777" w:rsidR="00E52534" w:rsidRPr="004E61CE" w:rsidRDefault="00E52534" w:rsidP="00E52534">
      <w:pPr>
        <w:pStyle w:val="ListParagraph"/>
        <w:spacing w:before="240" w:after="0"/>
        <w:jc w:val="both"/>
        <w:rPr>
          <w:rFonts w:asciiTheme="majorHAnsi" w:hAnsiTheme="majorHAnsi"/>
          <w:b/>
          <w:bCs/>
        </w:rPr>
      </w:pPr>
      <w:bookmarkStart w:id="1" w:name="_GoBack"/>
      <w:bookmarkEnd w:id="0"/>
      <w:bookmarkEnd w:id="1"/>
    </w:p>
    <w:p w14:paraId="3F74013A" w14:textId="77777777" w:rsidR="004E61CE" w:rsidRPr="004E61CE" w:rsidRDefault="004E61CE" w:rsidP="004E61CE">
      <w:pPr>
        <w:pStyle w:val="ListParagraph"/>
        <w:spacing w:before="240" w:after="0"/>
        <w:jc w:val="both"/>
        <w:rPr>
          <w:rFonts w:asciiTheme="majorHAnsi" w:hAnsiTheme="majorHAnsi"/>
          <w:b/>
          <w:bCs/>
        </w:rPr>
      </w:pPr>
    </w:p>
    <w:sectPr w:rsidR="004E61CE" w:rsidRPr="004E6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B38AC"/>
    <w:multiLevelType w:val="hybridMultilevel"/>
    <w:tmpl w:val="65140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30380"/>
    <w:multiLevelType w:val="hybridMultilevel"/>
    <w:tmpl w:val="F246E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824"/>
    <w:rsid w:val="004A53AE"/>
    <w:rsid w:val="004E61CE"/>
    <w:rsid w:val="005B7948"/>
    <w:rsid w:val="006A5824"/>
    <w:rsid w:val="00D5386E"/>
    <w:rsid w:val="00E52534"/>
    <w:rsid w:val="00F070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5DD58"/>
  <w15:docId w15:val="{1A8DBE48-B0A0-4DD7-9B32-DFF06CE1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1CE"/>
    <w:pPr>
      <w:ind w:left="720"/>
      <w:contextualSpacing/>
    </w:pPr>
  </w:style>
  <w:style w:type="table" w:styleId="TableGrid">
    <w:name w:val="Table Grid"/>
    <w:basedOn w:val="TableNormal"/>
    <w:uiPriority w:val="59"/>
    <w:unhideWhenUsed/>
    <w:rsid w:val="00E52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915269">
      <w:bodyDiv w:val="1"/>
      <w:marLeft w:val="0"/>
      <w:marRight w:val="0"/>
      <w:marTop w:val="0"/>
      <w:marBottom w:val="0"/>
      <w:divBdr>
        <w:top w:val="none" w:sz="0" w:space="0" w:color="auto"/>
        <w:left w:val="none" w:sz="0" w:space="0" w:color="auto"/>
        <w:bottom w:val="none" w:sz="0" w:space="0" w:color="auto"/>
        <w:right w:val="none" w:sz="0" w:space="0" w:color="auto"/>
      </w:divBdr>
    </w:div>
    <w:div w:id="160060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4</cp:revision>
  <dcterms:created xsi:type="dcterms:W3CDTF">2020-05-14T09:39:00Z</dcterms:created>
  <dcterms:modified xsi:type="dcterms:W3CDTF">2025-02-28T10:25:00Z</dcterms:modified>
</cp:coreProperties>
</file>